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F48" w:rsidRPr="00FE5F48" w:rsidRDefault="00FE5F48" w:rsidP="00080D09">
      <w:pPr>
        <w:pStyle w:val="Nagwek1"/>
        <w:spacing w:before="360" w:line="276" w:lineRule="auto"/>
        <w:jc w:val="center"/>
        <w:rPr>
          <w:rFonts w:ascii="Arial Narrow" w:hAnsi="Arial Narrow" w:cs="Calibri"/>
          <w:bCs w:val="0"/>
          <w:sz w:val="36"/>
          <w:szCs w:val="36"/>
        </w:rPr>
      </w:pPr>
      <w:bookmarkStart w:id="0" w:name="_Toc4165349"/>
      <w:r w:rsidRPr="00FE5F48">
        <w:rPr>
          <w:rFonts w:ascii="Arial Narrow" w:hAnsi="Arial Narrow" w:cs="Calibri"/>
          <w:bCs w:val="0"/>
          <w:sz w:val="36"/>
          <w:szCs w:val="36"/>
        </w:rPr>
        <w:t>Opis przedmiotowej inwestycji w języku nietechnicznym</w:t>
      </w:r>
      <w:bookmarkStart w:id="1" w:name="Bookmark8"/>
      <w:bookmarkEnd w:id="0"/>
    </w:p>
    <w:p w:rsidR="00FE5F48" w:rsidRDefault="00FE5F48" w:rsidP="00FE5F48">
      <w:pPr>
        <w:pStyle w:val="Textbody"/>
      </w:pPr>
    </w:p>
    <w:bookmarkEnd w:id="1"/>
    <w:p w:rsidR="00551C43" w:rsidRPr="00982FCE" w:rsidRDefault="00551C43" w:rsidP="00551C43">
      <w:pPr>
        <w:pStyle w:val="NormalnyWeb"/>
        <w:spacing w:before="180" w:after="180" w:line="276" w:lineRule="auto"/>
        <w:ind w:firstLine="360"/>
        <w:jc w:val="both"/>
        <w:rPr>
          <w:rFonts w:ascii="Arial Narrow" w:hAnsi="Arial Narrow" w:cs="Calibri"/>
        </w:rPr>
      </w:pPr>
      <w:r w:rsidRPr="00982FCE">
        <w:rPr>
          <w:rFonts w:ascii="Arial Narrow" w:hAnsi="Arial Narrow" w:cs="Calibri"/>
        </w:rPr>
        <w:t xml:space="preserve">Projektuje się przebudowę drogi gminnej w miejscowości Będków na jezdnię mineralno-bitumiczną </w:t>
      </w:r>
      <w:r>
        <w:rPr>
          <w:rFonts w:ascii="Arial Narrow" w:hAnsi="Arial Narrow" w:cs="Calibri"/>
        </w:rPr>
        <w:t xml:space="preserve">            </w:t>
      </w:r>
      <w:r w:rsidRPr="00982FCE">
        <w:rPr>
          <w:rFonts w:ascii="Arial Narrow" w:hAnsi="Arial Narrow" w:cs="Calibri"/>
        </w:rPr>
        <w:t xml:space="preserve">o szerokości 5,0 m. wraz z obustronnymi poboczami utwardzonymi o szerokości 0,75 m. </w:t>
      </w:r>
    </w:p>
    <w:p w:rsidR="00551C43" w:rsidRDefault="00551C43" w:rsidP="00551C43">
      <w:pPr>
        <w:pStyle w:val="NormalnyWeb"/>
        <w:spacing w:before="180" w:after="180" w:line="276" w:lineRule="auto"/>
        <w:ind w:firstLine="360"/>
        <w:jc w:val="both"/>
        <w:rPr>
          <w:rFonts w:ascii="Arial Narrow" w:hAnsi="Arial Narrow" w:cs="Calibri"/>
        </w:rPr>
      </w:pPr>
      <w:r w:rsidRPr="004A25FA">
        <w:rPr>
          <w:rFonts w:ascii="Arial Narrow" w:hAnsi="Arial Narrow" w:cs="Calibri"/>
        </w:rPr>
        <w:t>Odwodnienie jezdni drogi</w:t>
      </w:r>
      <w:r>
        <w:rPr>
          <w:rFonts w:ascii="Arial Narrow" w:hAnsi="Arial Narrow" w:cs="Calibri"/>
        </w:rPr>
        <w:t xml:space="preserve"> i chodnika</w:t>
      </w:r>
      <w:r w:rsidRPr="004A25FA">
        <w:rPr>
          <w:rFonts w:ascii="Arial Narrow" w:hAnsi="Arial Narrow" w:cs="Calibri"/>
        </w:rPr>
        <w:t xml:space="preserve"> będzie odbywało się za pomocą spadków poprzecznych nawierzchni oraz profilu podłużnego drogi. Wody opadowe i roztopowe zos</w:t>
      </w:r>
      <w:r>
        <w:rPr>
          <w:rFonts w:ascii="Arial Narrow" w:hAnsi="Arial Narrow" w:cs="Calibri"/>
        </w:rPr>
        <w:t>taną odprowadzone:</w:t>
      </w:r>
      <w:r w:rsidRPr="004A25FA">
        <w:rPr>
          <w:rFonts w:ascii="Arial Narrow" w:hAnsi="Arial Narrow" w:cs="Calibri"/>
        </w:rPr>
        <w:t xml:space="preserve"> </w:t>
      </w:r>
    </w:p>
    <w:p w:rsidR="00551C43" w:rsidRDefault="00551C43" w:rsidP="00551C43">
      <w:pPr>
        <w:pStyle w:val="NormalnyWeb"/>
        <w:numPr>
          <w:ilvl w:val="0"/>
          <w:numId w:val="5"/>
        </w:numPr>
        <w:spacing w:before="180" w:after="180" w:line="276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do </w:t>
      </w:r>
      <w:r w:rsidRPr="004A25FA">
        <w:rPr>
          <w:rFonts w:ascii="Arial Narrow" w:hAnsi="Arial Narrow" w:cs="Calibri"/>
        </w:rPr>
        <w:t>istniejąc</w:t>
      </w:r>
      <w:r>
        <w:rPr>
          <w:rFonts w:ascii="Arial Narrow" w:hAnsi="Arial Narrow" w:cs="Calibri"/>
        </w:rPr>
        <w:t>ych</w:t>
      </w:r>
      <w:r w:rsidRPr="004A25FA">
        <w:rPr>
          <w:rFonts w:ascii="Arial Narrow" w:hAnsi="Arial Narrow" w:cs="Calibri"/>
        </w:rPr>
        <w:t xml:space="preserve"> row</w:t>
      </w:r>
      <w:r>
        <w:rPr>
          <w:rFonts w:ascii="Arial Narrow" w:hAnsi="Arial Narrow" w:cs="Calibri"/>
        </w:rPr>
        <w:t>ów</w:t>
      </w:r>
      <w:r w:rsidRPr="004A25FA">
        <w:rPr>
          <w:rFonts w:ascii="Arial Narrow" w:hAnsi="Arial Narrow" w:cs="Calibri"/>
        </w:rPr>
        <w:t xml:space="preserve"> przydrożn</w:t>
      </w:r>
      <w:r>
        <w:rPr>
          <w:rFonts w:ascii="Arial Narrow" w:hAnsi="Arial Narrow" w:cs="Calibri"/>
        </w:rPr>
        <w:t xml:space="preserve">ych, </w:t>
      </w:r>
    </w:p>
    <w:p w:rsidR="00551C43" w:rsidRDefault="00551C43" w:rsidP="00551C43">
      <w:pPr>
        <w:pStyle w:val="NormalnyWeb"/>
        <w:numPr>
          <w:ilvl w:val="0"/>
          <w:numId w:val="5"/>
        </w:numPr>
        <w:spacing w:before="180" w:after="180" w:line="276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do projektowanego drenażu francuskiego połączonego z rowem przydrożnym, </w:t>
      </w:r>
    </w:p>
    <w:p w:rsidR="00551C43" w:rsidRDefault="00551C43" w:rsidP="00551C43">
      <w:pPr>
        <w:pStyle w:val="NormalnyWeb"/>
        <w:numPr>
          <w:ilvl w:val="0"/>
          <w:numId w:val="5"/>
        </w:numPr>
        <w:spacing w:before="180" w:after="180" w:line="276" w:lineRule="auto"/>
        <w:jc w:val="both"/>
        <w:rPr>
          <w:rFonts w:ascii="Arial Narrow" w:hAnsi="Arial Narrow" w:cs="Calibri"/>
        </w:rPr>
      </w:pPr>
      <w:r w:rsidRPr="00840DBE">
        <w:rPr>
          <w:rFonts w:ascii="Arial Narrow" w:hAnsi="Arial Narrow" w:cs="Calibri"/>
        </w:rPr>
        <w:t xml:space="preserve">za pomocą projektowanych wpustów deszczowych i przykanalików deszczowych do projektowanego kanału deszczowego a następnie poprzez wylot kanału do istniejącego rowu przydrożnego. </w:t>
      </w:r>
    </w:p>
    <w:p w:rsidR="00551C43" w:rsidRPr="009301FB" w:rsidRDefault="00551C43" w:rsidP="00551C43">
      <w:pPr>
        <w:pStyle w:val="NormalnyWeb"/>
        <w:spacing w:before="180" w:after="180" w:line="276" w:lineRule="auto"/>
        <w:jc w:val="both"/>
        <w:rPr>
          <w:rFonts w:ascii="Arial Narrow" w:hAnsi="Arial Narrow" w:cs="Calibri"/>
        </w:rPr>
      </w:pPr>
      <w:r w:rsidRPr="009301FB">
        <w:rPr>
          <w:rFonts w:ascii="Arial Narrow" w:hAnsi="Arial Narrow" w:cs="Calibri"/>
          <w:b/>
        </w:rPr>
        <w:t>Zakres usługi wodnej obejmuje odprowadzenie wód deszczowych i roztopowych z części pasa drogowego drogi gminnej Będków-Świerki do istniejących rowów przydrożnych za pomocą wylotu kanału deszczowego K4 i wylotu drenażu francuskiego D3.</w:t>
      </w:r>
    </w:p>
    <w:p w:rsidR="00551C43" w:rsidRDefault="00551C43" w:rsidP="00551C43">
      <w:pPr>
        <w:pStyle w:val="NormalnyWeb"/>
        <w:spacing w:before="180" w:after="180" w:line="276" w:lineRule="auto"/>
        <w:ind w:firstLine="360"/>
        <w:jc w:val="both"/>
        <w:rPr>
          <w:rFonts w:ascii="Arial Narrow" w:hAnsi="Arial Narrow" w:cs="Calibri"/>
        </w:rPr>
      </w:pPr>
      <w:r w:rsidRPr="002E201F">
        <w:rPr>
          <w:rFonts w:ascii="Arial Narrow" w:hAnsi="Arial Narrow" w:cs="Calibri"/>
        </w:rPr>
        <w:t xml:space="preserve">Łączna ilość wód deszczowych i/lub roztopowych wprowadzanych do odbiornika wód deszczowych, wynosi:  </w:t>
      </w:r>
      <w:bookmarkStart w:id="2" w:name="_GoBack"/>
      <w:bookmarkEnd w:id="2"/>
    </w:p>
    <w:p w:rsidR="00551C43" w:rsidRDefault="00551C43" w:rsidP="00551C43">
      <w:pPr>
        <w:autoSpaceDE w:val="0"/>
        <w:spacing w:line="276" w:lineRule="auto"/>
        <w:ind w:left="432"/>
        <w:rPr>
          <w:rFonts w:ascii="Arial Narrow" w:hAnsi="Arial Narrow"/>
          <w:b/>
          <w:sz w:val="24"/>
          <w:szCs w:val="24"/>
        </w:rPr>
      </w:pPr>
    </w:p>
    <w:tbl>
      <w:tblPr>
        <w:tblW w:w="8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2165"/>
        <w:gridCol w:w="2295"/>
        <w:gridCol w:w="2295"/>
      </w:tblGrid>
      <w:tr w:rsidR="00551C43" w:rsidRPr="00DA6599" w:rsidTr="00A86D8E">
        <w:trPr>
          <w:trHeight w:val="253"/>
          <w:jc w:val="center"/>
        </w:trPr>
        <w:tc>
          <w:tcPr>
            <w:tcW w:w="1300" w:type="dxa"/>
            <w:shd w:val="clear" w:color="auto" w:fill="BFBFBF"/>
          </w:tcPr>
          <w:p w:rsidR="00551C43" w:rsidRPr="00DA6599" w:rsidRDefault="00551C43" w:rsidP="00A86D8E">
            <w:pPr>
              <w:rPr>
                <w:rFonts w:ascii="Arial Narrow" w:hAnsi="Arial Narrow" w:cs="Arial"/>
              </w:rPr>
            </w:pPr>
          </w:p>
          <w:p w:rsidR="00551C43" w:rsidRPr="00DA6599" w:rsidRDefault="00551C43" w:rsidP="00A86D8E">
            <w:pPr>
              <w:rPr>
                <w:rFonts w:ascii="Arial Narrow" w:hAnsi="Arial Narrow" w:cs="Arial"/>
              </w:rPr>
            </w:pPr>
          </w:p>
          <w:p w:rsidR="00551C43" w:rsidRPr="00DA6599" w:rsidRDefault="00551C43" w:rsidP="00A86D8E">
            <w:pPr>
              <w:rPr>
                <w:rFonts w:ascii="Arial Narrow" w:hAnsi="Arial Narrow" w:cs="Arial"/>
              </w:rPr>
            </w:pPr>
            <w:r w:rsidRPr="00DA6599">
              <w:rPr>
                <w:rFonts w:ascii="Arial Narrow" w:hAnsi="Arial Narrow" w:cs="Arial"/>
              </w:rPr>
              <w:t>-</w:t>
            </w:r>
          </w:p>
        </w:tc>
        <w:tc>
          <w:tcPr>
            <w:tcW w:w="2165" w:type="dxa"/>
            <w:shd w:val="clear" w:color="auto" w:fill="BFBFBF"/>
          </w:tcPr>
          <w:p w:rsidR="00551C43" w:rsidRPr="00DA6599" w:rsidRDefault="00551C43" w:rsidP="00A86D8E">
            <w:pPr>
              <w:tabs>
                <w:tab w:val="left" w:pos="567"/>
                <w:tab w:val="left" w:pos="709"/>
                <w:tab w:val="left" w:pos="851"/>
              </w:tabs>
              <w:autoSpaceDE w:val="0"/>
              <w:adjustRightInd w:val="0"/>
              <w:spacing w:before="240"/>
              <w:jc w:val="center"/>
              <w:rPr>
                <w:rFonts w:ascii="Arial Narrow" w:hAnsi="Arial Narrow" w:cs="Calibri"/>
                <w:b/>
                <w:i/>
              </w:rPr>
            </w:pPr>
            <w:proofErr w:type="spellStart"/>
            <w:r w:rsidRPr="00DA6599">
              <w:rPr>
                <w:rFonts w:ascii="Arial Narrow" w:hAnsi="Arial Narrow" w:cs="Calibri"/>
                <w:b/>
                <w:i/>
              </w:rPr>
              <w:t>Q</w:t>
            </w:r>
            <w:r w:rsidRPr="00DA6599">
              <w:rPr>
                <w:rFonts w:ascii="Arial Narrow" w:hAnsi="Arial Narrow" w:cs="Calibri"/>
                <w:b/>
                <w:i/>
                <w:vertAlign w:val="subscript"/>
              </w:rPr>
              <w:t>max</w:t>
            </w:r>
            <w:proofErr w:type="spellEnd"/>
            <w:r w:rsidRPr="00DA6599">
              <w:rPr>
                <w:rFonts w:ascii="Arial Narrow" w:hAnsi="Arial Narrow" w:cs="Calibri"/>
                <w:b/>
                <w:i/>
              </w:rPr>
              <w:t xml:space="preserve"> [</w:t>
            </w:r>
            <w:r>
              <w:rPr>
                <w:rFonts w:ascii="Arial Narrow" w:hAnsi="Arial Narrow" w:cs="Calibri"/>
                <w:b/>
                <w:i/>
              </w:rPr>
              <w:t>d</w:t>
            </w:r>
            <w:r w:rsidRPr="00DA6599">
              <w:rPr>
                <w:rFonts w:ascii="Arial Narrow" w:hAnsi="Arial Narrow" w:cs="Calibri"/>
                <w:b/>
                <w:i/>
              </w:rPr>
              <w:t>m</w:t>
            </w:r>
            <w:r w:rsidRPr="00DA6599">
              <w:rPr>
                <w:rFonts w:ascii="Arial Narrow" w:hAnsi="Arial Narrow" w:cs="Calibri"/>
                <w:b/>
                <w:i/>
                <w:vertAlign w:val="superscript"/>
              </w:rPr>
              <w:t>3</w:t>
            </w:r>
            <w:r w:rsidRPr="00DA6599">
              <w:rPr>
                <w:rFonts w:ascii="Arial Narrow" w:hAnsi="Arial Narrow" w:cs="Calibri"/>
                <w:b/>
                <w:i/>
              </w:rPr>
              <w:t xml:space="preserve">/s] </w:t>
            </w:r>
            <w:r>
              <w:rPr>
                <w:rFonts w:ascii="Arial Narrow" w:hAnsi="Arial Narrow" w:cs="Calibri"/>
                <w:b/>
                <w:i/>
              </w:rPr>
              <w:t xml:space="preserve">/ </w:t>
            </w:r>
            <w:r w:rsidRPr="00DA6599">
              <w:rPr>
                <w:rFonts w:ascii="Arial Narrow" w:hAnsi="Arial Narrow" w:cs="Calibri"/>
                <w:b/>
                <w:i/>
              </w:rPr>
              <w:t>[m</w:t>
            </w:r>
            <w:r w:rsidRPr="00DA6599">
              <w:rPr>
                <w:rFonts w:ascii="Arial Narrow" w:hAnsi="Arial Narrow" w:cs="Calibri"/>
                <w:b/>
                <w:i/>
                <w:vertAlign w:val="superscript"/>
              </w:rPr>
              <w:t>3</w:t>
            </w:r>
            <w:r w:rsidRPr="00DA6599">
              <w:rPr>
                <w:rFonts w:ascii="Arial Narrow" w:hAnsi="Arial Narrow" w:cs="Calibri"/>
                <w:b/>
                <w:i/>
              </w:rPr>
              <w:t>/s]</w:t>
            </w:r>
          </w:p>
        </w:tc>
        <w:tc>
          <w:tcPr>
            <w:tcW w:w="2295" w:type="dxa"/>
            <w:shd w:val="clear" w:color="auto" w:fill="BFBFBF"/>
          </w:tcPr>
          <w:p w:rsidR="00551C43" w:rsidRPr="00DA6599" w:rsidRDefault="00551C43" w:rsidP="00A86D8E">
            <w:pPr>
              <w:tabs>
                <w:tab w:val="left" w:pos="567"/>
                <w:tab w:val="left" w:pos="709"/>
                <w:tab w:val="left" w:pos="851"/>
              </w:tabs>
              <w:autoSpaceDE w:val="0"/>
              <w:adjustRightInd w:val="0"/>
              <w:spacing w:before="240"/>
              <w:jc w:val="center"/>
              <w:rPr>
                <w:rFonts w:ascii="Arial Narrow" w:hAnsi="Arial Narrow" w:cs="Calibri"/>
                <w:b/>
                <w:i/>
              </w:rPr>
            </w:pPr>
            <w:proofErr w:type="spellStart"/>
            <w:r w:rsidRPr="00DA6599">
              <w:rPr>
                <w:rFonts w:ascii="Arial Narrow" w:hAnsi="Arial Narrow" w:cs="Calibri"/>
                <w:b/>
                <w:i/>
              </w:rPr>
              <w:t>Q</w:t>
            </w:r>
            <w:r w:rsidRPr="00DA6599">
              <w:rPr>
                <w:rFonts w:ascii="Arial Narrow" w:hAnsi="Arial Narrow" w:cs="Calibri"/>
                <w:b/>
                <w:i/>
                <w:vertAlign w:val="subscript"/>
              </w:rPr>
              <w:t>max</w:t>
            </w:r>
            <w:proofErr w:type="spellEnd"/>
            <w:r w:rsidRPr="00DA6599">
              <w:rPr>
                <w:rFonts w:ascii="Arial Narrow" w:hAnsi="Arial Narrow" w:cs="Calibri"/>
                <w:b/>
                <w:i/>
              </w:rPr>
              <w:t xml:space="preserve"> </w:t>
            </w:r>
            <w:r w:rsidRPr="00DA6599">
              <w:rPr>
                <w:rFonts w:ascii="Arial Narrow" w:hAnsi="Arial Narrow" w:cs="Calibri"/>
                <w:b/>
                <w:i/>
                <w:vertAlign w:val="subscript"/>
              </w:rPr>
              <w:t>roczne</w:t>
            </w:r>
            <w:r w:rsidRPr="00DA6599">
              <w:rPr>
                <w:rFonts w:ascii="Arial Narrow" w:hAnsi="Arial Narrow" w:cs="Calibri"/>
                <w:b/>
                <w:i/>
              </w:rPr>
              <w:t xml:space="preserve"> [m</w:t>
            </w:r>
            <w:r w:rsidRPr="00DA6599">
              <w:rPr>
                <w:rFonts w:ascii="Arial Narrow" w:hAnsi="Arial Narrow" w:cs="Calibri"/>
                <w:b/>
                <w:i/>
                <w:vertAlign w:val="superscript"/>
              </w:rPr>
              <w:t>3</w:t>
            </w:r>
            <w:r w:rsidRPr="00DA6599">
              <w:rPr>
                <w:rFonts w:ascii="Arial Narrow" w:hAnsi="Arial Narrow" w:cs="Calibri"/>
                <w:b/>
                <w:i/>
              </w:rPr>
              <w:t>/rok]</w:t>
            </w:r>
          </w:p>
        </w:tc>
        <w:tc>
          <w:tcPr>
            <w:tcW w:w="2295" w:type="dxa"/>
            <w:shd w:val="clear" w:color="auto" w:fill="BFBFBF"/>
          </w:tcPr>
          <w:p w:rsidR="00551C43" w:rsidRPr="00DA6599" w:rsidRDefault="00551C43" w:rsidP="00A86D8E">
            <w:pPr>
              <w:tabs>
                <w:tab w:val="left" w:pos="567"/>
                <w:tab w:val="left" w:pos="709"/>
                <w:tab w:val="left" w:pos="851"/>
              </w:tabs>
              <w:autoSpaceDE w:val="0"/>
              <w:adjustRightInd w:val="0"/>
              <w:spacing w:before="240"/>
              <w:jc w:val="center"/>
              <w:rPr>
                <w:rFonts w:ascii="Arial Narrow" w:hAnsi="Arial Narrow" w:cs="Calibri"/>
                <w:b/>
                <w:i/>
              </w:rPr>
            </w:pPr>
            <w:proofErr w:type="spellStart"/>
            <w:r w:rsidRPr="00DA6599">
              <w:rPr>
                <w:rFonts w:ascii="Arial Narrow" w:hAnsi="Arial Narrow" w:cs="Calibri"/>
                <w:b/>
                <w:i/>
              </w:rPr>
              <w:t>Q</w:t>
            </w:r>
            <w:r>
              <w:rPr>
                <w:rFonts w:ascii="Arial Narrow" w:hAnsi="Arial Narrow" w:cs="Calibri"/>
                <w:b/>
                <w:i/>
                <w:vertAlign w:val="subscript"/>
              </w:rPr>
              <w:t>śr</w:t>
            </w:r>
            <w:proofErr w:type="spellEnd"/>
            <w:r>
              <w:rPr>
                <w:rFonts w:ascii="Arial Narrow" w:hAnsi="Arial Narrow" w:cs="Calibri"/>
                <w:b/>
                <w:i/>
                <w:vertAlign w:val="subscript"/>
              </w:rPr>
              <w:t xml:space="preserve">. </w:t>
            </w:r>
            <w:proofErr w:type="gramStart"/>
            <w:r>
              <w:rPr>
                <w:rFonts w:ascii="Arial Narrow" w:hAnsi="Arial Narrow" w:cs="Calibri"/>
                <w:b/>
                <w:i/>
                <w:vertAlign w:val="subscript"/>
              </w:rPr>
              <w:t>dobowe suma</w:t>
            </w:r>
            <w:proofErr w:type="gramEnd"/>
            <w:r w:rsidRPr="00DA6599">
              <w:rPr>
                <w:rFonts w:ascii="Arial Narrow" w:hAnsi="Arial Narrow" w:cs="Calibri"/>
                <w:b/>
                <w:i/>
              </w:rPr>
              <w:t xml:space="preserve"> [m</w:t>
            </w:r>
            <w:r w:rsidRPr="00DA6599">
              <w:rPr>
                <w:rFonts w:ascii="Arial Narrow" w:hAnsi="Arial Narrow" w:cs="Calibri"/>
                <w:b/>
                <w:i/>
                <w:vertAlign w:val="superscript"/>
              </w:rPr>
              <w:t>3</w:t>
            </w:r>
            <w:r w:rsidRPr="00DA6599">
              <w:rPr>
                <w:rFonts w:ascii="Arial Narrow" w:hAnsi="Arial Narrow" w:cs="Calibri"/>
                <w:b/>
                <w:i/>
              </w:rPr>
              <w:t>/</w:t>
            </w:r>
            <w:r>
              <w:rPr>
                <w:rFonts w:ascii="Arial Narrow" w:hAnsi="Arial Narrow" w:cs="Calibri"/>
                <w:b/>
                <w:i/>
              </w:rPr>
              <w:t>d</w:t>
            </w:r>
            <w:r w:rsidRPr="00DA6599">
              <w:rPr>
                <w:rFonts w:ascii="Arial Narrow" w:hAnsi="Arial Narrow" w:cs="Calibri"/>
                <w:b/>
                <w:i/>
              </w:rPr>
              <w:t>]</w:t>
            </w:r>
          </w:p>
        </w:tc>
      </w:tr>
      <w:tr w:rsidR="00551C43" w:rsidRPr="00DA6599" w:rsidTr="00A86D8E">
        <w:trPr>
          <w:trHeight w:val="253"/>
          <w:jc w:val="center"/>
        </w:trPr>
        <w:tc>
          <w:tcPr>
            <w:tcW w:w="1300" w:type="dxa"/>
            <w:shd w:val="clear" w:color="auto" w:fill="D9D9D9"/>
          </w:tcPr>
          <w:p w:rsidR="00551C43" w:rsidRPr="00DA6599" w:rsidRDefault="00551C43" w:rsidP="00A86D8E">
            <w:pPr>
              <w:rPr>
                <w:rFonts w:ascii="Arial Narrow" w:hAnsi="Arial Narrow" w:cs="Arial"/>
              </w:rPr>
            </w:pPr>
            <w:r w:rsidRPr="00DA6599">
              <w:rPr>
                <w:rFonts w:ascii="Arial Narrow" w:hAnsi="Arial Narrow"/>
              </w:rPr>
              <w:t xml:space="preserve">Wylot </w:t>
            </w:r>
            <w:r>
              <w:rPr>
                <w:rFonts w:ascii="Arial Narrow" w:hAnsi="Arial Narrow"/>
              </w:rPr>
              <w:t>K4</w:t>
            </w:r>
          </w:p>
        </w:tc>
        <w:tc>
          <w:tcPr>
            <w:tcW w:w="2165" w:type="dxa"/>
            <w:shd w:val="clear" w:color="auto" w:fill="D9D9D9"/>
            <w:vAlign w:val="bottom"/>
          </w:tcPr>
          <w:p w:rsidR="00551C43" w:rsidRPr="00DA6599" w:rsidRDefault="00551C43" w:rsidP="00A86D8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4,7 / 0,0047</w:t>
            </w:r>
          </w:p>
        </w:tc>
        <w:tc>
          <w:tcPr>
            <w:tcW w:w="2295" w:type="dxa"/>
            <w:shd w:val="clear" w:color="auto" w:fill="D9D9D9"/>
            <w:vAlign w:val="bottom"/>
          </w:tcPr>
          <w:p w:rsidR="00551C43" w:rsidRPr="00DA6599" w:rsidRDefault="00551C43" w:rsidP="00A86D8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149,6</w:t>
            </w:r>
          </w:p>
        </w:tc>
        <w:tc>
          <w:tcPr>
            <w:tcW w:w="2295" w:type="dxa"/>
            <w:shd w:val="clear" w:color="auto" w:fill="D9D9D9"/>
          </w:tcPr>
          <w:p w:rsidR="00551C43" w:rsidRDefault="00551C43" w:rsidP="00A86D8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0,41</w:t>
            </w:r>
          </w:p>
        </w:tc>
      </w:tr>
      <w:tr w:rsidR="00551C43" w:rsidRPr="00DA6599" w:rsidTr="00A86D8E">
        <w:trPr>
          <w:trHeight w:val="253"/>
          <w:jc w:val="center"/>
        </w:trPr>
        <w:tc>
          <w:tcPr>
            <w:tcW w:w="1300" w:type="dxa"/>
            <w:shd w:val="clear" w:color="auto" w:fill="auto"/>
          </w:tcPr>
          <w:p w:rsidR="00551C43" w:rsidRPr="00DA6599" w:rsidRDefault="00551C43" w:rsidP="00A86D8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Wylot D3</w:t>
            </w:r>
          </w:p>
        </w:tc>
        <w:tc>
          <w:tcPr>
            <w:tcW w:w="2165" w:type="dxa"/>
            <w:shd w:val="clear" w:color="auto" w:fill="auto"/>
            <w:vAlign w:val="bottom"/>
          </w:tcPr>
          <w:p w:rsidR="00551C43" w:rsidRPr="00DA6599" w:rsidRDefault="00551C43" w:rsidP="00A86D8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0,7 / </w:t>
            </w:r>
            <w:r w:rsidRPr="00DA6599">
              <w:rPr>
                <w:rFonts w:ascii="Arial Narrow" w:hAnsi="Arial Narrow"/>
              </w:rPr>
              <w:t>0,0</w:t>
            </w:r>
            <w:r>
              <w:rPr>
                <w:rFonts w:ascii="Arial Narrow" w:hAnsi="Arial Narrow"/>
              </w:rPr>
              <w:t>007</w:t>
            </w:r>
          </w:p>
        </w:tc>
        <w:tc>
          <w:tcPr>
            <w:tcW w:w="2295" w:type="dxa"/>
            <w:shd w:val="clear" w:color="auto" w:fill="auto"/>
            <w:vAlign w:val="bottom"/>
          </w:tcPr>
          <w:p w:rsidR="00551C43" w:rsidRPr="00DA6599" w:rsidRDefault="00551C43" w:rsidP="00A86D8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22,0</w:t>
            </w:r>
          </w:p>
        </w:tc>
        <w:tc>
          <w:tcPr>
            <w:tcW w:w="2295" w:type="dxa"/>
          </w:tcPr>
          <w:p w:rsidR="00551C43" w:rsidRDefault="00551C43" w:rsidP="00A86D8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0,06</w:t>
            </w:r>
          </w:p>
        </w:tc>
      </w:tr>
      <w:tr w:rsidR="00551C43" w:rsidRPr="00DA6599" w:rsidTr="00A86D8E">
        <w:trPr>
          <w:trHeight w:val="253"/>
          <w:jc w:val="center"/>
        </w:trPr>
        <w:tc>
          <w:tcPr>
            <w:tcW w:w="1300" w:type="dxa"/>
            <w:tcBorders>
              <w:left w:val="nil"/>
              <w:bottom w:val="nil"/>
            </w:tcBorders>
            <w:shd w:val="clear" w:color="auto" w:fill="auto"/>
          </w:tcPr>
          <w:p w:rsidR="00551C43" w:rsidRDefault="00551C43" w:rsidP="00A86D8E">
            <w:pPr>
              <w:rPr>
                <w:rFonts w:ascii="Arial Narrow" w:hAnsi="Arial Narrow"/>
              </w:rPr>
            </w:pPr>
          </w:p>
        </w:tc>
        <w:tc>
          <w:tcPr>
            <w:tcW w:w="2165" w:type="dxa"/>
            <w:shd w:val="clear" w:color="auto" w:fill="auto"/>
            <w:vAlign w:val="bottom"/>
          </w:tcPr>
          <w:p w:rsidR="00551C43" w:rsidRPr="00DA6599" w:rsidRDefault="00551C43" w:rsidP="00A86D8E">
            <w:pPr>
              <w:jc w:val="center"/>
              <w:rPr>
                <w:rFonts w:ascii="Arial Narrow" w:hAnsi="Arial Narrow"/>
              </w:rPr>
            </w:pPr>
            <w:r w:rsidRPr="00DA6599">
              <w:rPr>
                <w:rFonts w:ascii="Arial Narrow" w:hAnsi="Arial Narrow"/>
              </w:rPr>
              <w:t>∑</w:t>
            </w:r>
            <w:r>
              <w:rPr>
                <w:rFonts w:ascii="Arial Narrow" w:hAnsi="Arial Narrow"/>
              </w:rPr>
              <w:t xml:space="preserve"> 5,4 /</w:t>
            </w:r>
            <w:r w:rsidRPr="00DA6599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0,0054</w:t>
            </w:r>
          </w:p>
        </w:tc>
        <w:tc>
          <w:tcPr>
            <w:tcW w:w="2295" w:type="dxa"/>
            <w:shd w:val="clear" w:color="auto" w:fill="auto"/>
            <w:vAlign w:val="bottom"/>
          </w:tcPr>
          <w:p w:rsidR="00551C43" w:rsidRPr="00DA6599" w:rsidRDefault="00551C43" w:rsidP="00A86D8E">
            <w:pPr>
              <w:jc w:val="center"/>
              <w:rPr>
                <w:rFonts w:ascii="Arial Narrow" w:hAnsi="Arial Narrow"/>
              </w:rPr>
            </w:pPr>
            <w:r w:rsidRPr="00DA6599">
              <w:rPr>
                <w:rFonts w:ascii="Arial Narrow" w:hAnsi="Arial Narrow"/>
              </w:rPr>
              <w:t>∑</w:t>
            </w:r>
            <w:r>
              <w:rPr>
                <w:rFonts w:ascii="Arial Narrow" w:hAnsi="Arial Narrow"/>
              </w:rPr>
              <w:t xml:space="preserve"> 171,6</w:t>
            </w:r>
          </w:p>
        </w:tc>
        <w:tc>
          <w:tcPr>
            <w:tcW w:w="2295" w:type="dxa"/>
          </w:tcPr>
          <w:p w:rsidR="00551C43" w:rsidRPr="00DA6599" w:rsidRDefault="00551C43" w:rsidP="00A86D8E">
            <w:pPr>
              <w:jc w:val="center"/>
              <w:rPr>
                <w:rFonts w:ascii="Arial Narrow" w:hAnsi="Arial Narrow"/>
              </w:rPr>
            </w:pPr>
            <w:r w:rsidRPr="00DA6599">
              <w:rPr>
                <w:rFonts w:ascii="Arial Narrow" w:hAnsi="Arial Narrow"/>
              </w:rPr>
              <w:t>∑</w:t>
            </w:r>
            <w:r>
              <w:rPr>
                <w:rFonts w:ascii="Arial Narrow" w:hAnsi="Arial Narrow"/>
              </w:rPr>
              <w:t xml:space="preserve"> 0,47</w:t>
            </w:r>
          </w:p>
        </w:tc>
      </w:tr>
    </w:tbl>
    <w:p w:rsidR="00636112" w:rsidRPr="00172B43" w:rsidRDefault="00636112" w:rsidP="00551C43">
      <w:pPr>
        <w:pStyle w:val="NormalnyWeb"/>
        <w:spacing w:before="180" w:after="180" w:line="276" w:lineRule="auto"/>
        <w:ind w:firstLine="360"/>
        <w:jc w:val="both"/>
        <w:rPr>
          <w:rFonts w:ascii="Arial Narrow" w:hAnsi="Arial Narrow"/>
        </w:rPr>
      </w:pPr>
    </w:p>
    <w:sectPr w:rsidR="00636112" w:rsidRPr="00172B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232" w:rsidRDefault="00004232" w:rsidP="00080D09">
      <w:r>
        <w:separator/>
      </w:r>
    </w:p>
  </w:endnote>
  <w:endnote w:type="continuationSeparator" w:id="0">
    <w:p w:rsidR="00004232" w:rsidRDefault="00004232" w:rsidP="0008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232" w:rsidRDefault="00004232" w:rsidP="00080D09">
      <w:r>
        <w:separator/>
      </w:r>
    </w:p>
  </w:footnote>
  <w:footnote w:type="continuationSeparator" w:id="0">
    <w:p w:rsidR="00004232" w:rsidRDefault="00004232" w:rsidP="00080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D09" w:rsidRPr="004E1D87" w:rsidRDefault="004E1D87" w:rsidP="004E1D87">
    <w:pPr>
      <w:pStyle w:val="Nagwek"/>
      <w:jc w:val="center"/>
    </w:pPr>
    <w:r w:rsidRPr="00510CCE">
      <w:rPr>
        <w:rFonts w:ascii="Arial" w:hAnsi="Arial" w:cs="Arial"/>
        <w:b/>
        <w:color w:val="000000"/>
        <w:sz w:val="24"/>
        <w:szCs w:val="24"/>
      </w:rPr>
      <w:t xml:space="preserve">Przebudowa drogi gminnej </w:t>
    </w:r>
    <w:r w:rsidR="00172B43">
      <w:rPr>
        <w:rFonts w:ascii="Arial" w:hAnsi="Arial" w:cs="Arial"/>
        <w:b/>
        <w:color w:val="000000"/>
        <w:sz w:val="24"/>
        <w:szCs w:val="24"/>
      </w:rPr>
      <w:t>Będków - Świerki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57E25"/>
    <w:multiLevelType w:val="multilevel"/>
    <w:tmpl w:val="18DAB484"/>
    <w:styleLink w:val="WWNum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2E6207"/>
    <w:multiLevelType w:val="hybridMultilevel"/>
    <w:tmpl w:val="C5FCC9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3951B1"/>
    <w:multiLevelType w:val="multilevel"/>
    <w:tmpl w:val="9716B38C"/>
    <w:styleLink w:val="Outlin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3" w15:restartNumberingAfterBreak="0">
    <w:nsid w:val="58A62498"/>
    <w:multiLevelType w:val="hybridMultilevel"/>
    <w:tmpl w:val="F75E6A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sz w:val="24"/>
          <w:szCs w:val="24"/>
        </w:rPr>
      </w:lvl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C0D"/>
    <w:rsid w:val="00004232"/>
    <w:rsid w:val="0004117F"/>
    <w:rsid w:val="00080D09"/>
    <w:rsid w:val="000964FF"/>
    <w:rsid w:val="000E2496"/>
    <w:rsid w:val="00161D3D"/>
    <w:rsid w:val="00172B43"/>
    <w:rsid w:val="004E1D87"/>
    <w:rsid w:val="00551C43"/>
    <w:rsid w:val="005D7921"/>
    <w:rsid w:val="00636112"/>
    <w:rsid w:val="00640C0D"/>
    <w:rsid w:val="006975F3"/>
    <w:rsid w:val="00851F12"/>
    <w:rsid w:val="00936434"/>
    <w:rsid w:val="0094014B"/>
    <w:rsid w:val="009902BD"/>
    <w:rsid w:val="009C5902"/>
    <w:rsid w:val="00A66BE3"/>
    <w:rsid w:val="00A93132"/>
    <w:rsid w:val="00B70459"/>
    <w:rsid w:val="00C06DC7"/>
    <w:rsid w:val="00C40257"/>
    <w:rsid w:val="00F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A39C0-9041-4F9B-A946-0278F4E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E5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1">
    <w:name w:val="heading 1"/>
    <w:basedOn w:val="Normalny"/>
    <w:next w:val="Textbody"/>
    <w:link w:val="Nagwek1Znak"/>
    <w:rsid w:val="00FE5F48"/>
    <w:pPr>
      <w:keepNext/>
      <w:widowControl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E5F48"/>
    <w:rPr>
      <w:rFonts w:ascii="Arial" w:eastAsia="Times New Roman" w:hAnsi="Arial" w:cs="Arial"/>
      <w:b/>
      <w:bCs/>
      <w:kern w:val="3"/>
      <w:sz w:val="32"/>
      <w:szCs w:val="32"/>
      <w:lang w:eastAsia="pl-PL"/>
    </w:rPr>
  </w:style>
  <w:style w:type="paragraph" w:customStyle="1" w:styleId="Textbody">
    <w:name w:val="Text body"/>
    <w:basedOn w:val="Normalny"/>
    <w:rsid w:val="00FE5F48"/>
    <w:pPr>
      <w:widowControl/>
      <w:spacing w:after="120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FE5F48"/>
    <w:pPr>
      <w:widowControl/>
      <w:spacing w:before="100" w:after="100"/>
    </w:pPr>
    <w:rPr>
      <w:sz w:val="24"/>
      <w:szCs w:val="24"/>
    </w:rPr>
  </w:style>
  <w:style w:type="numbering" w:customStyle="1" w:styleId="WWNum2">
    <w:name w:val="WWNum2"/>
    <w:basedOn w:val="Bezlisty"/>
    <w:rsid w:val="00FE5F48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64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34"/>
    <w:rPr>
      <w:rFonts w:ascii="Segoe UI" w:eastAsia="Times New Roman" w:hAnsi="Segoe UI" w:cs="Segoe UI"/>
      <w:kern w:val="3"/>
      <w:sz w:val="18"/>
      <w:szCs w:val="18"/>
      <w:lang w:eastAsia="pl-PL"/>
    </w:rPr>
  </w:style>
  <w:style w:type="paragraph" w:customStyle="1" w:styleId="Standard">
    <w:name w:val="Standard"/>
    <w:rsid w:val="000E24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Outline">
    <w:name w:val="Outline"/>
    <w:basedOn w:val="Bezlisty"/>
    <w:rsid w:val="000E2496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080D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D09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0D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D09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Akapitzlist">
    <w:name w:val="List Paragraph"/>
    <w:basedOn w:val="Standard"/>
    <w:link w:val="AkapitzlistZnak"/>
    <w:uiPriority w:val="34"/>
    <w:qFormat/>
    <w:rsid w:val="00161D3D"/>
    <w:pPr>
      <w:ind w:left="720"/>
    </w:pPr>
  </w:style>
  <w:style w:type="character" w:customStyle="1" w:styleId="AkapitzlistZnak">
    <w:name w:val="Akapit z listą Znak"/>
    <w:link w:val="Akapitzlist"/>
    <w:uiPriority w:val="34"/>
    <w:locked/>
    <w:rsid w:val="00161D3D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WW-Znakiprzypiswdolnych">
    <w:name w:val="WW-Znaki przypisów dolnych"/>
    <w:rsid w:val="004E1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PROJEKT STACJA</dc:creator>
  <cp:keywords/>
  <dc:description/>
  <cp:lastModifiedBy>ST PROJEKT STACJA</cp:lastModifiedBy>
  <cp:revision>3</cp:revision>
  <cp:lastPrinted>2019-09-04T20:05:00Z</cp:lastPrinted>
  <dcterms:created xsi:type="dcterms:W3CDTF">2019-11-15T11:05:00Z</dcterms:created>
  <dcterms:modified xsi:type="dcterms:W3CDTF">2020-01-04T18:52:00Z</dcterms:modified>
</cp:coreProperties>
</file>